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D" w:rsidRDefault="00DB39B4">
      <w:pPr>
        <w:spacing w:after="120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Čo je to stavebný úver?</w:t>
      </w:r>
    </w:p>
    <w:p w:rsidR="0011252D" w:rsidRDefault="002F5072">
      <w:pPr>
        <w:pStyle w:val="Zkladntext"/>
      </w:pPr>
      <w:r>
        <w:rPr>
          <w:noProof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421640</wp:posOffset>
            </wp:positionV>
            <wp:extent cx="647065" cy="800100"/>
            <wp:effectExtent l="0" t="0" r="635" b="0"/>
            <wp:wrapSquare wrapText="bothSides"/>
            <wp:docPr id="5" name="Obrázok 5" descr="C:\Program Files\Common Files\Microsoft Shared\Clipart\cagcat50\PE0146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Common Files\Microsoft Shared\Clipart\cagcat50\PE01460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9B4">
        <w:t>Stavebný úver predstavuje jednu z podstatných výhod stavebného sporenia. Pri uzatváraní zmluvy sa ako budúci sporiteľ rozhodnete pre určitú cieľovú sumu stavebného sporenia. Výšku cieľovej sumy si samozrejme stanovíte na základe vlastných vyhliadok a plánov na krajšie a modernejšie bývanie.</w:t>
      </w:r>
    </w:p>
    <w:p w:rsidR="0011252D" w:rsidRDefault="00DB39B4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Polovicu Vami zvolenej cieľovej sumy predstavuje nasporená suma, ktorú tvoria Vaše vklady zhodnocované štátnou prémiou do výšky až 6000 Sk na osobu. Vklady sú spolu so štátnou prémiou úročené 3% úrokovou sadzbou. Druhú časť cieľovej sumy Vám poskytne stavebná sporiteľňa práve vo forme stavebného úveru.</w:t>
      </w:r>
    </w:p>
    <w:p w:rsidR="0011252D" w:rsidRDefault="0011252D">
      <w:pPr>
        <w:pStyle w:val="Hlavika"/>
        <w:tabs>
          <w:tab w:val="clear" w:pos="4536"/>
          <w:tab w:val="clear" w:pos="9072"/>
        </w:tabs>
        <w:rPr>
          <w:sz w:val="24"/>
          <w:lang w:val="sk-SK"/>
        </w:rPr>
      </w:pPr>
    </w:p>
    <w:p w:rsidR="0011252D" w:rsidRDefault="00DB39B4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Príklad sporenia s normálnou tarifou na cieľovú sumu </w:t>
      </w:r>
      <w:r>
        <w:rPr>
          <w:b/>
          <w:sz w:val="28"/>
          <w:lang w:val="sk-SK"/>
        </w:rPr>
        <w:br/>
      </w:r>
      <w:r w:rsidR="00D00EB9">
        <w:rPr>
          <w:b/>
          <w:sz w:val="28"/>
          <w:lang w:val="sk-SK"/>
        </w:rPr>
        <w:t>10 922 €</w:t>
      </w: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C0" w:firstRow="0" w:lastRow="1" w:firstColumn="1" w:lastColumn="0" w:noHBand="0" w:noVBand="0"/>
      </w:tblPr>
      <w:tblGrid>
        <w:gridCol w:w="3936"/>
        <w:gridCol w:w="3118"/>
        <w:gridCol w:w="1802"/>
      </w:tblGrid>
      <w:tr w:rsidR="0011252D">
        <w:trPr>
          <w:cantSplit/>
        </w:trPr>
        <w:tc>
          <w:tcPr>
            <w:tcW w:w="3936" w:type="dxa"/>
            <w:shd w:val="pct30" w:color="000000" w:fill="FFFFFF"/>
          </w:tcPr>
          <w:p w:rsidR="0011252D" w:rsidRDefault="00DB39B4">
            <w:pPr>
              <w:pStyle w:val="Nadpis5"/>
            </w:pPr>
            <w:r>
              <w:t>Mesačný vklad</w:t>
            </w:r>
          </w:p>
        </w:tc>
        <w:tc>
          <w:tcPr>
            <w:tcW w:w="3118" w:type="dxa"/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=55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 xml:space="preserve">  55,00 €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</w:tcPr>
          <w:p w:rsidR="0011252D" w:rsidRDefault="0011252D">
            <w:pPr>
              <w:jc w:val="right"/>
              <w:rPr>
                <w:sz w:val="24"/>
                <w:lang w:val="sk-SK"/>
              </w:rPr>
            </w:pPr>
          </w:p>
        </w:tc>
      </w:tr>
      <w:tr w:rsidR="0011252D">
        <w:trPr>
          <w:cantSplit/>
        </w:trPr>
        <w:tc>
          <w:tcPr>
            <w:tcW w:w="3936" w:type="dxa"/>
            <w:shd w:val="pct30" w:color="000000" w:fill="FFFFFF"/>
          </w:tcPr>
          <w:p w:rsidR="0011252D" w:rsidRDefault="00DB39B4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Ročný vklad</w:t>
            </w:r>
          </w:p>
        </w:tc>
        <w:tc>
          <w:tcPr>
            <w:tcW w:w="3118" w:type="dxa"/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=b1*12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 xml:space="preserve"> 660,00 €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</w:tcPr>
          <w:p w:rsidR="0011252D" w:rsidRDefault="0011252D">
            <w:pPr>
              <w:jc w:val="right"/>
              <w:rPr>
                <w:sz w:val="24"/>
                <w:lang w:val="sk-SK"/>
              </w:rPr>
            </w:pPr>
          </w:p>
        </w:tc>
      </w:tr>
      <w:tr w:rsidR="0011252D">
        <w:trPr>
          <w:cantSplit/>
        </w:trPr>
        <w:tc>
          <w:tcPr>
            <w:tcW w:w="3936" w:type="dxa"/>
            <w:shd w:val="pct30" w:color="000000" w:fill="FFFFFF"/>
          </w:tcPr>
          <w:p w:rsidR="0011252D" w:rsidRDefault="00DB39B4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Vklad za 6 rokov</w:t>
            </w:r>
          </w:p>
        </w:tc>
        <w:tc>
          <w:tcPr>
            <w:tcW w:w="3118" w:type="dxa"/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=b2*6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>3 960,00 €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</w:tcPr>
          <w:p w:rsidR="0011252D" w:rsidRDefault="00DB39B4">
            <w:pPr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A</w:t>
            </w:r>
          </w:p>
        </w:tc>
      </w:tr>
      <w:tr w:rsidR="0011252D">
        <w:trPr>
          <w:cantSplit/>
        </w:trPr>
        <w:tc>
          <w:tcPr>
            <w:tcW w:w="3936" w:type="dxa"/>
            <w:shd w:val="pct30" w:color="000000" w:fill="FFFFFF"/>
          </w:tcPr>
          <w:p w:rsidR="0011252D" w:rsidRDefault="00DB39B4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Zisk za 6r. (prémia+úroky)</w:t>
            </w:r>
          </w:p>
        </w:tc>
        <w:tc>
          <w:tcPr>
            <w:tcW w:w="3118" w:type="dxa"/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=1677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>1 677,00 €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</w:tcPr>
          <w:p w:rsidR="0011252D" w:rsidRDefault="00DB39B4">
            <w:pPr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B</w:t>
            </w:r>
          </w:p>
        </w:tc>
      </w:tr>
      <w:tr w:rsidR="0011252D">
        <w:trPr>
          <w:cantSplit/>
        </w:trPr>
        <w:tc>
          <w:tcPr>
            <w:tcW w:w="3936" w:type="dxa"/>
            <w:shd w:val="pct30" w:color="000000" w:fill="FFFFFF"/>
          </w:tcPr>
          <w:p w:rsidR="0011252D" w:rsidRDefault="00DB39B4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Nasporená suma za 6 rokov</w:t>
            </w:r>
          </w:p>
        </w:tc>
        <w:tc>
          <w:tcPr>
            <w:tcW w:w="3118" w:type="dxa"/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=b3+b4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>5 637,00 €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</w:tcPr>
          <w:p w:rsidR="0011252D" w:rsidRDefault="00DB39B4">
            <w:pPr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A+B</w:t>
            </w:r>
          </w:p>
        </w:tc>
      </w:tr>
      <w:tr w:rsidR="0011252D">
        <w:trPr>
          <w:cantSplit/>
        </w:trPr>
        <w:tc>
          <w:tcPr>
            <w:tcW w:w="3936" w:type="dxa"/>
            <w:shd w:val="pct30" w:color="000000" w:fill="FFFFFF"/>
          </w:tcPr>
          <w:p w:rsidR="0011252D" w:rsidRDefault="00DB39B4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Nárok na úver</w:t>
            </w:r>
          </w:p>
        </w:tc>
        <w:tc>
          <w:tcPr>
            <w:tcW w:w="3118" w:type="dxa"/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=5285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>5 285,00 €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</w:tcPr>
          <w:p w:rsidR="0011252D" w:rsidRDefault="00DB39B4">
            <w:pPr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C</w:t>
            </w:r>
          </w:p>
        </w:tc>
      </w:tr>
      <w:tr w:rsidR="0011252D">
        <w:trPr>
          <w:cantSplit/>
        </w:trPr>
        <w:tc>
          <w:tcPr>
            <w:tcW w:w="3936" w:type="dxa"/>
            <w:tcBorders>
              <w:top w:val="single" w:sz="6" w:space="0" w:color="000000"/>
            </w:tcBorders>
            <w:shd w:val="pct30" w:color="000000" w:fill="FFFFFF"/>
          </w:tcPr>
          <w:p w:rsidR="0011252D" w:rsidRDefault="00DB39B4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Cieľová suma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11252D" w:rsidRDefault="00D00EB9">
            <w:pPr>
              <w:tabs>
                <w:tab w:val="decimal" w:pos="1443"/>
              </w:tabs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/>
            </w:r>
            <w:r>
              <w:rPr>
                <w:sz w:val="24"/>
                <w:lang w:val="sk-SK"/>
              </w:rPr>
              <w:instrText xml:space="preserve"> =b5+b6 \# "# ##0,00 €;(# ##0,00 €)" </w:instrText>
            </w:r>
            <w:r>
              <w:rPr>
                <w:sz w:val="24"/>
                <w:lang w:val="sk-SK"/>
              </w:rPr>
              <w:fldChar w:fldCharType="separate"/>
            </w:r>
            <w:r>
              <w:rPr>
                <w:noProof/>
                <w:sz w:val="24"/>
                <w:lang w:val="sk-SK"/>
              </w:rPr>
              <w:t>10 922,00 €</w:t>
            </w:r>
            <w:r>
              <w:rPr>
                <w:sz w:val="24"/>
                <w:lang w:val="sk-SK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000000"/>
            </w:tcBorders>
          </w:tcPr>
          <w:p w:rsidR="0011252D" w:rsidRDefault="00DB39B4">
            <w:pPr>
              <w:keepNext/>
              <w:jc w:val="right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A+B+C</w:t>
            </w:r>
          </w:p>
        </w:tc>
      </w:tr>
    </w:tbl>
    <w:p w:rsidR="0011252D" w:rsidRDefault="00DB39B4">
      <w:pPr>
        <w:pStyle w:val="Popis"/>
        <w:rPr>
          <w:lang w:val="sk-SK"/>
        </w:rPr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11252D" w:rsidRDefault="00DB39B4">
      <w:pPr>
        <w:pStyle w:val="Nadpis1"/>
        <w:rPr>
          <w:b/>
          <w:sz w:val="28"/>
        </w:rPr>
      </w:pPr>
      <w:r>
        <w:rPr>
          <w:b/>
          <w:sz w:val="28"/>
        </w:rPr>
        <w:t xml:space="preserve">Bytová </w:t>
      </w:r>
      <w:r w:rsidR="00D00EB9">
        <w:rPr>
          <w:b/>
          <w:sz w:val="28"/>
        </w:rPr>
        <w:t>výstavba v roku 2010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463"/>
        <w:gridCol w:w="1463"/>
        <w:gridCol w:w="1463"/>
        <w:gridCol w:w="1464"/>
        <w:gridCol w:w="1464"/>
      </w:tblGrid>
      <w:tr w:rsidR="0011252D">
        <w:trPr>
          <w:cantSplit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textDirection w:val="btLr"/>
            <w:tcFitText/>
            <w:vAlign w:val="center"/>
          </w:tcPr>
          <w:p w:rsidR="0011252D" w:rsidRDefault="00DB39B4">
            <w:pPr>
              <w:ind w:left="113" w:right="113"/>
              <w:jc w:val="center"/>
              <w:rPr>
                <w:b/>
                <w:bCs/>
                <w:sz w:val="28"/>
                <w:lang w:val="sk-SK"/>
              </w:rPr>
            </w:pPr>
            <w:r>
              <w:rPr>
                <w:b/>
                <w:bCs/>
                <w:sz w:val="28"/>
                <w:lang w:val="sk-SK"/>
              </w:rPr>
              <w:t>Byty</w:t>
            </w:r>
          </w:p>
        </w:tc>
        <w:tc>
          <w:tcPr>
            <w:tcW w:w="731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DDD"/>
          </w:tcPr>
          <w:p w:rsidR="0011252D" w:rsidRDefault="00DB39B4">
            <w:pPr>
              <w:pStyle w:val="Nadpis2"/>
            </w:pPr>
            <w:r>
              <w:t>Obdobie výstavby</w:t>
            </w:r>
          </w:p>
        </w:tc>
      </w:tr>
      <w:tr w:rsidR="0011252D">
        <w:trPr>
          <w:cantSplit/>
          <w:trHeight w:val="386"/>
        </w:trPr>
        <w:tc>
          <w:tcPr>
            <w:tcW w:w="1463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:rsidR="0011252D" w:rsidRDefault="0011252D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01-03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01-06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01-07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01-08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01-09</w:t>
            </w:r>
          </w:p>
        </w:tc>
      </w:tr>
      <w:tr w:rsidR="0011252D">
        <w:tc>
          <w:tcPr>
            <w:tcW w:w="146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1252D" w:rsidRDefault="00DB39B4">
            <w:pPr>
              <w:pStyle w:val="Nadpis3"/>
              <w:spacing w:before="60" w:after="60"/>
            </w:pPr>
            <w:r>
              <w:t>Začaté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2573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5352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6132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6720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7610</w:t>
            </w:r>
          </w:p>
        </w:tc>
      </w:tr>
      <w:tr w:rsidR="0011252D">
        <w:tc>
          <w:tcPr>
            <w:tcW w:w="14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1252D" w:rsidRDefault="00DB39B4">
            <w:pPr>
              <w:spacing w:before="60" w:after="60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Dokončené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2705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6423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7327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1252D" w:rsidRDefault="00DB39B4">
            <w:pPr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8077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252D" w:rsidRDefault="00DB39B4">
            <w:pPr>
              <w:keepNext/>
              <w:jc w:val="center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8993</w:t>
            </w:r>
          </w:p>
        </w:tc>
      </w:tr>
    </w:tbl>
    <w:p w:rsidR="0011252D" w:rsidRDefault="00DB39B4">
      <w:pPr>
        <w:pStyle w:val="Popis"/>
      </w:pPr>
      <w:r>
        <w:t xml:space="preserve">Tabuľka </w:t>
      </w:r>
      <w:r>
        <w:fldChar w:fldCharType="begin"/>
      </w:r>
      <w:r>
        <w:instrText xml:space="preserve"> SEQ Tabuľka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11252D" w:rsidRDefault="002F5072">
      <w:pPr>
        <w:jc w:val="both"/>
        <w:rPr>
          <w:sz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40640</wp:posOffset>
                </wp:positionV>
                <wp:extent cx="342900" cy="2971800"/>
                <wp:effectExtent l="0" t="0" r="0" b="0"/>
                <wp:wrapTight wrapText="right">
                  <wp:wrapPolygon edited="0">
                    <wp:start x="-600" y="0"/>
                    <wp:lineTo x="-600" y="21600"/>
                    <wp:lineTo x="22200" y="21600"/>
                    <wp:lineTo x="22200" y="0"/>
                    <wp:lineTo x="-60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2D" w:rsidRDefault="00DB39B4">
                            <w:pPr>
                              <w:pStyle w:val="Nadpis1"/>
                              <w:jc w:val="both"/>
                            </w:pPr>
                            <w:r>
                              <w:t>Ďalšie informácie získate vo VUB  Wustenrot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15pt;margin-top:3.2pt;width:27pt;height:23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9lIQIAAFAEAAAOAAAAZHJzL2Uyb0RvYy54bWysVM1u2zAMvg/YOwi6L07cZGmMOEWXLsOA&#10;7gdo9wCyLNvCJFGTlNh5+1FymqbdrZgPAilSH8mPpNc3g1bkIJyXYEo6m0wpEYZDLU1b0l+Puw/X&#10;lPjATM0UGFHSo/D0ZvP+3bq3hcihA1ULRxDE+KK3Je1CsEWWed4JzfwErDBobMBpFlB1bVY71iO6&#10;Vlk+nX7MenC1dcCF93h7NxrpJuE3jeDhR9N4EYgqKeYW0unSWcUz26xZ0TpmO8lPabA3ZKGZNBj0&#10;DHXHAiN7J/+B0pI78NCECQedQdNILlINWM1s+qqah45ZkWpBcrw90+T/Hyz/fvjpiKxLekWJYRpb&#10;9CiGQD7BQJaRnd76Ap0eLLqFAa+xy6lSb++B//bEwLZjphW3zkHfCVZjdrP4Mrt4OuL4CFL136DG&#10;MGwfIAENjdOROiSDIDp26XjuTEyF4+XVPF9N0cLRlK+Ws2tUYghWPL22zocvAjSJQkkddj6hs8O9&#10;D6Prk0sM5kHJeieVSoprq61y5MBwSnbpO6G/cFOG9CVdLfLFSMAbILQMOO5K6pJiCfjFOKyItH02&#10;dZIDk2qUsTplTjxG6kYSw1AN6BjJraA+IqMOxrHGNUQhnpT0ONIl9X/2zAlK1FeDXVnN5vO4A0mZ&#10;L5Y5Ku7SUl1amOEd4KYg2Chuw7g3e+tk22GkcQ4M3GInG5lIfs7qlDeObWrTacXiXlzqyev5R7D5&#10;CwAA//8DAFBLAwQUAAYACAAAACEAGzXOiNsAAAAHAQAADwAAAGRycy9kb3ducmV2LnhtbEyOwU7D&#10;MBBE70j8g7WVuFGn1IQ2xKmiCoQqThSkqjc3XpKIeB3Fbhr+nuUEx9GM3rx8M7lOjDiE1pOGxTwB&#10;gVR521Kt4eP9+XYFIkRD1nSeUMM3BtgU11e5yay/0BuO+1gLhlDIjIYmxj6TMlQNOhPmvkfi7tMP&#10;zkSOQy3tYC4Md528S5JUOtMSPzSmx22D1df+7DSkT6/rcty5ekn+ZXsod/eI01Hrm9lUPoKIOMW/&#10;MfzqszoU7HTyZ7JBdJyTJS+ZpUBwnSqOJw3qQSmQRS7/+xc/AAAA//8DAFBLAQItABQABgAIAAAA&#10;IQC2gziS/gAAAOEBAAATAAAAAAAAAAAAAAAAAAAAAABbQ29udGVudF9UeXBlc10ueG1sUEsBAi0A&#10;FAAGAAgAAAAhADj9If/WAAAAlAEAAAsAAAAAAAAAAAAAAAAALwEAAF9yZWxzLy5yZWxzUEsBAi0A&#10;FAAGAAgAAAAhAJuWT2UhAgAAUAQAAA4AAAAAAAAAAAAAAAAALgIAAGRycy9lMm9Eb2MueG1sUEsB&#10;Ai0AFAAGAAgAAAAhABs1zojbAAAABwEAAA8AAAAAAAAAAAAAAAAAewQAAGRycy9kb3ducmV2Lnht&#10;bFBLBQYAAAAABAAEAPMAAACDBQAAAAA=&#10;" strokecolor="white">
                <v:textbox style="layout-flow:vertical">
                  <w:txbxContent>
                    <w:p w:rsidR="00000000" w:rsidRDefault="00DB39B4">
                      <w:pPr>
                        <w:pStyle w:val="Nadpis1"/>
                        <w:jc w:val="both"/>
                      </w:pPr>
                      <w:r>
                        <w:t>Ďalšie informácie získate vo VUB  Wustenrot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160655</wp:posOffset>
                </wp:positionV>
                <wp:extent cx="2286000" cy="2743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2D" w:rsidRDefault="00DB39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sk-SK"/>
                              </w:rPr>
                              <w:t>Čo je medziúver?</w:t>
                            </w:r>
                          </w:p>
                          <w:p w:rsidR="0011252D" w:rsidRDefault="0011252D">
                            <w:pPr>
                              <w:jc w:val="center"/>
                              <w:rPr>
                                <w:sz w:val="24"/>
                                <w:lang w:val="sk-SK"/>
                              </w:rPr>
                            </w:pPr>
                          </w:p>
                          <w:p w:rsidR="0011252D" w:rsidRDefault="00DB39B4">
                            <w:pPr>
                              <w:pStyle w:val="Zkladntext"/>
                            </w:pPr>
                            <w:r>
                              <w:t xml:space="preserve">Medziúver je forma úveru, ktorá slúži na preklenutie časového obdobia, pokiaľ </w:t>
                            </w:r>
                          </w:p>
                          <w:p w:rsidR="0011252D" w:rsidRDefault="002F5072">
                            <w:pPr>
                              <w:jc w:val="center"/>
                              <w:rPr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619125" cy="771525"/>
                                  <wp:effectExtent l="0" t="0" r="9525" b="9525"/>
                                  <wp:docPr id="1" name="Obrázok 1" descr="C:\Program Files\Common Files\Microsoft Shared\Clipart\cagcat50\PE01460_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Common Files\Microsoft Shared\Clipart\cagcat50\PE01460_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52D" w:rsidRDefault="00DB39B4">
                            <w:pPr>
                              <w:pStyle w:val="Zkladntext"/>
                            </w:pPr>
                            <w:r>
                              <w:t>klientovi vznikne nárok na pridelenie stavebného úveru na základe zmluvy o stavebnom sporení.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1.2pt;margin-top:12.65pt;width:18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sbKQIAAFgEAAAOAAAAZHJzL2Uyb0RvYy54bWysVNtu2zAMfR+wfxD0vtjxkjQ14hRdugwD&#10;ugvQ7gNkWY6FSaImKbGzry8lp2m2vRXzgyCK0iF5DunVzaAVOQjnJZiKTic5JcJwaKTZVfTH4/bd&#10;khIfmGmYAiMqehSe3qzfvln1thQFdKAa4QiCGF/2tqJdCLbMMs87oZmfgBUGnS04zQKabpc1jvWI&#10;rlVW5Pki68E11gEX3uPp3eik64TftoKHb23rRSCqophbSKtLax3XbL1i5c4x20l+SoO9IgvNpMGg&#10;Z6g7FhjZO/kPlJbcgYc2TDjoDNpWcpFqwGqm+V/VPHTMilQLkuPtmSb//2D518N3R2RT0YISwzRK&#10;9CiGQD7AQBaRnd76Ei89WLwWBjxGlVOl3t4D/+mJgU3HzE7cOgd9J1iD2U3jy+zi6YjjI0jdf4EG&#10;w7B9gAQ0tE5H6pAMguio0vGsTEyF42FRLBd5ji6OvuJq9h61TzFY+fzcOh8+CdAkbirqUPoEzw73&#10;PsR0WPl8JUbzoGSzlUolw+3qjXLkwLBNtuk7of9xTRnSV/R6XsxHBl4BoWXAfldSV3SJBY1VsDLy&#10;9tE0qRsDk2rcY8rKnIiM3I0shqEekmKJ5UhyDc0RmXUwtjeOI246cL8p6bG1K+p/7ZkTlKjPBtW5&#10;ns5mcRaSMZtfFWi4S0996WGGI1RFAyXjdhPG+dlbJ3cdRhr7wcAtKtrKxPVLVqf0sX2TBKdRi/Nx&#10;aadbLz+E9RMAAAD//wMAUEsDBBQABgAIAAAAIQCMvMhY3wAAAAoBAAAPAAAAZHJzL2Rvd25yZXYu&#10;eG1sTI/BTsMwDIbvSLxDZCQuaEvJVlaVutM0gThvcOGWtV5b0Thtk60dT092Ykfbn35/f7aeTCvO&#10;NLjGMsLzPAJBXNiy4Qrh6/N9loBwXnOpW8uEcCEH6/z+LtNpaUfe0XnvKxFC2KUaofa+S6V0RU1G&#10;u7ntiMPtaAejfRiHSpaDHkO4aaWKohdpdMPhQ6072tZU/OxPBsGObxdjqY/U0/ev+dhu+t1R9YiP&#10;D9PmFYSnyf/DcNUP6pAHp4M9celEixArtQwogooXIAKQJNfFAWEZrxYg80zeVsj/AAAA//8DAFBL&#10;AQItABQABgAIAAAAIQC2gziS/gAAAOEBAAATAAAAAAAAAAAAAAAAAAAAAABbQ29udGVudF9UeXBl&#10;c10ueG1sUEsBAi0AFAAGAAgAAAAhADj9If/WAAAAlAEAAAsAAAAAAAAAAAAAAAAALwEAAF9yZWxz&#10;Ly5yZWxzUEsBAi0AFAAGAAgAAAAhAPCSuxspAgAAWAQAAA4AAAAAAAAAAAAAAAAALgIAAGRycy9l&#10;Mm9Eb2MueG1sUEsBAi0AFAAGAAgAAAAhAIy8yFjfAAAACgEAAA8AAAAAAAAAAAAAAAAAgwQAAGRy&#10;cy9kb3ducmV2LnhtbFBLBQYAAAAABAAEAPMAAACPBQAAAAA=&#10;" strokecolor="white">
                <v:textbox>
                  <w:txbxContent>
                    <w:p w:rsidR="00000000" w:rsidRDefault="00DB39B4">
                      <w:pPr>
                        <w:jc w:val="center"/>
                        <w:rPr>
                          <w:b/>
                          <w:bCs/>
                          <w:sz w:val="28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sk-SK"/>
                        </w:rPr>
                        <w:t>Čo je medziúver?</w:t>
                      </w:r>
                    </w:p>
                    <w:p w:rsidR="00000000" w:rsidRDefault="00DB39B4">
                      <w:pPr>
                        <w:jc w:val="center"/>
                        <w:rPr>
                          <w:sz w:val="24"/>
                          <w:lang w:val="sk-SK"/>
                        </w:rPr>
                      </w:pPr>
                    </w:p>
                    <w:p w:rsidR="00000000" w:rsidRDefault="00DB39B4">
                      <w:pPr>
                        <w:pStyle w:val="Zkladntext"/>
                      </w:pPr>
                      <w:r>
                        <w:t>Medziúver je forma úveru, ktorá slúži na preklenutie časového obdobia, pok</w:t>
                      </w:r>
                      <w:r>
                        <w:t xml:space="preserve">iaľ </w:t>
                      </w:r>
                    </w:p>
                    <w:p w:rsidR="00000000" w:rsidRDefault="002F5072">
                      <w:pPr>
                        <w:jc w:val="center"/>
                        <w:rPr>
                          <w:sz w:val="24"/>
                          <w:lang w:val="sk-SK"/>
                        </w:rPr>
                      </w:pPr>
                      <w:r>
                        <w:rPr>
                          <w:noProof/>
                          <w:sz w:val="24"/>
                          <w:lang w:val="sk-SK" w:eastAsia="sk-SK"/>
                        </w:rPr>
                        <w:drawing>
                          <wp:inline distT="0" distB="0" distL="0" distR="0">
                            <wp:extent cx="619125" cy="771525"/>
                            <wp:effectExtent l="0" t="0" r="9525" b="9525"/>
                            <wp:docPr id="1" name="Obrázok 1" descr="C:\Program Files\Common Files\Microsoft Shared\Clipart\cagcat50\PE01460_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Common Files\Microsoft Shared\Clipart\cagcat50\PE01460_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B39B4">
                      <w:pPr>
                        <w:pStyle w:val="Zkladntext"/>
                      </w:pPr>
                      <w:r>
                        <w:t>klientovi vznikne nárok na pridelenie stavebného úveru na základe zmluvy o stavebnom sporení.</w:t>
                      </w:r>
                    </w:p>
                  </w:txbxContent>
                </v:textbox>
              </v:shape>
            </w:pict>
          </mc:Fallback>
        </mc:AlternateContent>
      </w:r>
    </w:p>
    <w:p w:rsidR="0011252D" w:rsidRDefault="002F5072">
      <w:pPr>
        <w:rPr>
          <w:sz w:val="2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139065</wp:posOffset>
            </wp:positionV>
            <wp:extent cx="1828800" cy="2263775"/>
            <wp:effectExtent l="0" t="0" r="0" b="3175"/>
            <wp:wrapNone/>
            <wp:docPr id="10" name="Obrázok 10" descr="..\..\..\Program Files\Common Files\Microsoft Shared\Clipart\cagcat50\pe0146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Program Files\Common Files\Microsoft Shared\Clipart\cagcat50\pe01460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52D" w:rsidRDefault="0011252D">
      <w:pPr>
        <w:jc w:val="both"/>
        <w:rPr>
          <w:sz w:val="24"/>
          <w:lang w:val="sk-SK"/>
        </w:rPr>
      </w:pPr>
    </w:p>
    <w:p w:rsidR="0011252D" w:rsidRDefault="0011252D">
      <w:pPr>
        <w:jc w:val="both"/>
        <w:rPr>
          <w:sz w:val="24"/>
          <w:lang w:val="sk-SK"/>
        </w:rPr>
      </w:pPr>
    </w:p>
    <w:p w:rsidR="0011252D" w:rsidRDefault="0011252D">
      <w:pPr>
        <w:jc w:val="both"/>
        <w:rPr>
          <w:sz w:val="24"/>
          <w:lang w:val="sk-SK"/>
        </w:rPr>
      </w:pPr>
    </w:p>
    <w:p w:rsidR="0011252D" w:rsidRDefault="0011252D">
      <w:pPr>
        <w:jc w:val="both"/>
        <w:rPr>
          <w:sz w:val="24"/>
          <w:lang w:val="sk-SK"/>
        </w:rPr>
      </w:pPr>
    </w:p>
    <w:p w:rsidR="0011252D" w:rsidRDefault="0011252D">
      <w:pPr>
        <w:jc w:val="both"/>
        <w:rPr>
          <w:sz w:val="24"/>
          <w:lang w:val="sk-SK"/>
        </w:rPr>
      </w:pPr>
    </w:p>
    <w:p w:rsidR="0011252D" w:rsidRDefault="00DB39B4">
      <w:pPr>
        <w:pStyle w:val="Nadpis4"/>
        <w:tabs>
          <w:tab w:val="right" w:pos="3402"/>
        </w:tabs>
        <w:jc w:val="left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 xml:space="preserve">Veľa </w:t>
      </w:r>
      <w:r>
        <w:rPr>
          <w:rFonts w:ascii="Arial Narrow" w:hAnsi="Arial Narrow"/>
          <w:sz w:val="48"/>
        </w:rPr>
        <w:t>šťastia</w:t>
      </w:r>
      <w:r>
        <w:rPr>
          <w:rFonts w:ascii="Arial Narrow" w:hAnsi="Arial Narrow"/>
          <w:sz w:val="52"/>
        </w:rPr>
        <w:t xml:space="preserve"> pri stavebnom</w:t>
      </w:r>
      <w:r>
        <w:rPr>
          <w:rFonts w:ascii="Arial Narrow" w:hAnsi="Arial Narrow"/>
          <w:sz w:val="52"/>
        </w:rPr>
        <w:br/>
        <w:t xml:space="preserve"> </w:t>
      </w:r>
      <w:r>
        <w:rPr>
          <w:rFonts w:ascii="Arial Narrow" w:hAnsi="Arial Narrow"/>
          <w:sz w:val="52"/>
        </w:rPr>
        <w:tab/>
        <w:t>sporení!</w:t>
      </w:r>
    </w:p>
    <w:p w:rsidR="0011252D" w:rsidRDefault="0011252D">
      <w:pPr>
        <w:jc w:val="both"/>
        <w:rPr>
          <w:sz w:val="44"/>
          <w:lang w:val="sk-SK"/>
        </w:rPr>
      </w:pPr>
    </w:p>
    <w:p w:rsidR="00DB39B4" w:rsidRDefault="00DB39B4">
      <w:pPr>
        <w:jc w:val="both"/>
        <w:rPr>
          <w:sz w:val="24"/>
          <w:lang w:val="sk-SK"/>
        </w:rPr>
      </w:pPr>
    </w:p>
    <w:sectPr w:rsidR="00DB39B4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Borders w:zOrder="back">
        <w:top w:val="cabins" w:sz="20" w:space="3" w:color="auto"/>
        <w:left w:val="cabins" w:sz="20" w:space="14" w:color="auto"/>
        <w:bottom w:val="cabins" w:sz="20" w:space="25" w:color="auto"/>
        <w:right w:val="cabins" w:sz="20" w:space="1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58" w:rsidRDefault="00536F58">
      <w:r>
        <w:separator/>
      </w:r>
    </w:p>
  </w:endnote>
  <w:endnote w:type="continuationSeparator" w:id="0">
    <w:p w:rsidR="00536F58" w:rsidRDefault="0053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D" w:rsidRDefault="0011252D">
    <w:pPr>
      <w:pStyle w:val="Pta"/>
      <w:rPr>
        <w:lang w:val="sk-SK"/>
      </w:rPr>
    </w:pPr>
  </w:p>
  <w:p w:rsidR="0011252D" w:rsidRDefault="0011252D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58" w:rsidRDefault="00536F58">
      <w:r>
        <w:separator/>
      </w:r>
    </w:p>
  </w:footnote>
  <w:footnote w:type="continuationSeparator" w:id="0">
    <w:p w:rsidR="00536F58" w:rsidRDefault="0053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D" w:rsidRDefault="00DB39B4">
    <w:pPr>
      <w:pStyle w:val="Hlavika"/>
      <w:tabs>
        <w:tab w:val="clear" w:pos="4536"/>
        <w:tab w:val="clear" w:pos="9072"/>
        <w:tab w:val="right" w:pos="9356"/>
      </w:tabs>
      <w:rPr>
        <w:sz w:val="24"/>
        <w:lang w:val="sk-SK"/>
      </w:rPr>
    </w:pPr>
    <w:r>
      <w:rPr>
        <w:sz w:val="24"/>
        <w:lang w:val="sk-SK"/>
      </w:rPr>
      <w:t xml:space="preserve">predloha5 </w:t>
    </w:r>
    <w:r>
      <w:rPr>
        <w:sz w:val="24"/>
        <w:lang w:val="sk-SK"/>
      </w:rPr>
      <w:tab/>
      <w:t>Úver.doc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72"/>
    <w:rsid w:val="0011252D"/>
    <w:rsid w:val="002F5072"/>
    <w:rsid w:val="00536F58"/>
    <w:rsid w:val="00D00EB9"/>
    <w:rsid w:val="00D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spacing w:before="120" w:after="120"/>
      <w:jc w:val="center"/>
      <w:outlineLvl w:val="1"/>
    </w:pPr>
    <w:rPr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sz w:val="24"/>
      <w:lang w:val="sk-SK"/>
    </w:rPr>
  </w:style>
  <w:style w:type="paragraph" w:styleId="Zkladntext2">
    <w:name w:val="Body Text 2"/>
    <w:basedOn w:val="Normlny"/>
    <w:semiHidden/>
    <w:pPr>
      <w:jc w:val="center"/>
    </w:pPr>
    <w:rPr>
      <w:rFonts w:ascii="Arial Narrow" w:hAnsi="Arial Narrow"/>
      <w:sz w:val="28"/>
      <w:lang w:val="sk-SK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EB9"/>
    <w:rPr>
      <w:rFonts w:ascii="Tahoma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spacing w:before="120" w:after="120"/>
      <w:jc w:val="center"/>
      <w:outlineLvl w:val="1"/>
    </w:pPr>
    <w:rPr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sz w:val="24"/>
      <w:lang w:val="sk-SK"/>
    </w:rPr>
  </w:style>
  <w:style w:type="paragraph" w:styleId="Zkladntext2">
    <w:name w:val="Body Text 2"/>
    <w:basedOn w:val="Normlny"/>
    <w:semiHidden/>
    <w:pPr>
      <w:jc w:val="center"/>
    </w:pPr>
    <w:rPr>
      <w:rFonts w:ascii="Arial Narrow" w:hAnsi="Arial Narrow"/>
      <w:sz w:val="28"/>
      <w:lang w:val="sk-SK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EB9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Čo je to stavebný úver</vt:lpstr>
      <vt:lpstr>Čo je to stavebný úver</vt:lpstr>
    </vt:vector>
  </TitlesOfParts>
  <Company>EF</Company>
  <LinksUpToDate>false</LinksUpToDate>
  <CharactersWithSpaces>1455</CharactersWithSpaces>
  <SharedDoc>false</SharedDoc>
  <HLinks>
    <vt:vector size="18" baseType="variant">
      <vt:variant>
        <vt:i4>3997708</vt:i4>
      </vt:variant>
      <vt:variant>
        <vt:i4>4106</vt:i4>
      </vt:variant>
      <vt:variant>
        <vt:i4>1025</vt:i4>
      </vt:variant>
      <vt:variant>
        <vt:i4>1</vt:i4>
      </vt:variant>
      <vt:variant>
        <vt:lpwstr>C:\Program Files\Common Files\Microsoft Shared\Clipart\cagcat50\PE01460_.wmf</vt:lpwstr>
      </vt:variant>
      <vt:variant>
        <vt:lpwstr/>
      </vt:variant>
      <vt:variant>
        <vt:i4>3997708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Files\Common Files\Microsoft Shared\Clipart\cagcat50\PE01460_.wmf</vt:lpwstr>
      </vt:variant>
      <vt:variant>
        <vt:lpwstr/>
      </vt:variant>
      <vt:variant>
        <vt:i4>7667741</vt:i4>
      </vt:variant>
      <vt:variant>
        <vt:i4>-1</vt:i4>
      </vt:variant>
      <vt:variant>
        <vt:i4>1034</vt:i4>
      </vt:variant>
      <vt:variant>
        <vt:i4>1</vt:i4>
      </vt:variant>
      <vt:variant>
        <vt:lpwstr>..\..\..\Program Files\Common Files\Microsoft Shared\Clipart\cagcat50\pe01460_.wmf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Čo je to stavebný úver</dc:title>
  <dc:creator>ws2</dc:creator>
  <cp:lastModifiedBy>Gubalova Jolana</cp:lastModifiedBy>
  <cp:revision>3</cp:revision>
  <cp:lastPrinted>2000-12-21T08:52:00Z</cp:lastPrinted>
  <dcterms:created xsi:type="dcterms:W3CDTF">2011-02-10T15:58:00Z</dcterms:created>
  <dcterms:modified xsi:type="dcterms:W3CDTF">2011-02-10T16:07:00Z</dcterms:modified>
</cp:coreProperties>
</file>