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3E" w:rsidRDefault="002D22ED" w:rsidP="002D22ED">
      <w:pPr>
        <w:jc w:val="center"/>
        <w:rPr>
          <w:b/>
        </w:rPr>
      </w:pPr>
      <w:r>
        <w:rPr>
          <w:b/>
        </w:rPr>
        <w:t>Predprimárne vzdelávanie v Nemecku a</w:t>
      </w:r>
      <w:r w:rsidR="00E36478">
        <w:rPr>
          <w:b/>
        </w:rPr>
        <w:t> </w:t>
      </w:r>
      <w:r>
        <w:rPr>
          <w:b/>
        </w:rPr>
        <w:t>Rakúsku</w:t>
      </w:r>
    </w:p>
    <w:p w:rsidR="00E36478" w:rsidRPr="00E36478" w:rsidRDefault="00E36478" w:rsidP="002D22ED">
      <w:pPr>
        <w:jc w:val="center"/>
        <w:rPr>
          <w:sz w:val="20"/>
          <w:szCs w:val="20"/>
        </w:rPr>
      </w:pPr>
      <w:r w:rsidRPr="00E36478">
        <w:rPr>
          <w:sz w:val="20"/>
          <w:szCs w:val="20"/>
        </w:rPr>
        <w:t xml:space="preserve">Vypracovali Simona Hudačková, Veronika </w:t>
      </w:r>
      <w:proofErr w:type="spellStart"/>
      <w:r w:rsidRPr="00E36478">
        <w:rPr>
          <w:sz w:val="20"/>
          <w:szCs w:val="20"/>
        </w:rPr>
        <w:t>Janečková</w:t>
      </w:r>
      <w:proofErr w:type="spellEnd"/>
    </w:p>
    <w:p w:rsidR="0041399E" w:rsidRDefault="0041399E" w:rsidP="002D22ED">
      <w:pPr>
        <w:jc w:val="center"/>
        <w:rPr>
          <w:b/>
        </w:rPr>
      </w:pPr>
    </w:p>
    <w:p w:rsidR="0097702B" w:rsidRDefault="00851C2F" w:rsidP="00851C2F">
      <w:pPr>
        <w:jc w:val="left"/>
      </w:pPr>
      <w:r w:rsidRPr="00851C2F">
        <w:t>V Nemecku vznikol zákonný nárok na u</w:t>
      </w:r>
      <w:r w:rsidR="0097702B">
        <w:t>miestnenie dieťaťa do zariadenia</w:t>
      </w:r>
      <w:r w:rsidRPr="00851C2F">
        <w:t xml:space="preserve"> poskytujúce ranú starostlivosť od.......roka života.</w:t>
      </w:r>
      <w:r w:rsidR="0097702B">
        <w:t xml:space="preserve"> Tento zákonný nárok platí od ............................. Nemecké spolkové krajiny majú zo zákona povinnosť zaviesť.................................. pre deti, ktoré ešte nie sú pripravené na vstup do základnej školy.</w:t>
      </w:r>
    </w:p>
    <w:p w:rsidR="0097702B" w:rsidRDefault="0097702B" w:rsidP="00851C2F">
      <w:pPr>
        <w:jc w:val="left"/>
      </w:pPr>
      <w:r>
        <w:t>V roku .............bola zavedená povinná predškolská výchova pre deti od ........... rokov v Rakúsku.</w:t>
      </w:r>
    </w:p>
    <w:p w:rsidR="00851C2F" w:rsidRPr="00851C2F" w:rsidRDefault="00851C2F" w:rsidP="00851C2F">
      <w:pPr>
        <w:jc w:val="left"/>
      </w:pPr>
    </w:p>
    <w:p w:rsidR="001F5DE9" w:rsidRDefault="001F5DE9" w:rsidP="001F5DE9">
      <w:pPr>
        <w:jc w:val="left"/>
        <w:rPr>
          <w:b/>
        </w:rPr>
      </w:pPr>
      <w:r>
        <w:rPr>
          <w:b/>
        </w:rPr>
        <w:t>Spoločné znaky vzdelávania pre 16 spolkových krajín Nemecka:</w:t>
      </w:r>
    </w:p>
    <w:p w:rsidR="001F5DE9" w:rsidRDefault="001F5DE9" w:rsidP="001F5DE9">
      <w:pPr>
        <w:jc w:val="left"/>
      </w:pPr>
      <w:r>
        <w:t>1. Dĺžka povinnej školskej dochádzky</w:t>
      </w:r>
    </w:p>
    <w:p w:rsidR="001F5DE9" w:rsidRDefault="001F5DE9" w:rsidP="001F5DE9">
      <w:pPr>
        <w:jc w:val="left"/>
      </w:pPr>
      <w:r>
        <w:t>2. _________________________________________________</w:t>
      </w:r>
    </w:p>
    <w:p w:rsidR="001F5DE9" w:rsidRDefault="001F5DE9" w:rsidP="001F5DE9">
      <w:pPr>
        <w:jc w:val="left"/>
      </w:pPr>
      <w:r>
        <w:t>3. Označovanie vzdelávacích zariadení</w:t>
      </w:r>
    </w:p>
    <w:p w:rsidR="001F5DE9" w:rsidRDefault="001F5DE9" w:rsidP="001F5DE9">
      <w:pPr>
        <w:jc w:val="left"/>
      </w:pPr>
      <w:r>
        <w:t>4. _________________________________________________</w:t>
      </w:r>
    </w:p>
    <w:p w:rsidR="001F5DE9" w:rsidRDefault="001F5DE9" w:rsidP="001F5DE9">
      <w:pPr>
        <w:jc w:val="left"/>
      </w:pPr>
      <w:r>
        <w:t>5. Systém známkovania</w:t>
      </w:r>
    </w:p>
    <w:p w:rsidR="006D1100" w:rsidRDefault="006D1100" w:rsidP="001F5DE9">
      <w:pPr>
        <w:jc w:val="left"/>
      </w:pPr>
    </w:p>
    <w:p w:rsidR="006D1100" w:rsidRPr="006D1100" w:rsidRDefault="006D1100" w:rsidP="001F5DE9">
      <w:r w:rsidRPr="006D1100">
        <w:t>Rodičia dieťaťa majú v Nemecku ......................úlohu pri rozhodovaní o odložení vstupu dieťaťa do primárneho vzdelávania.</w:t>
      </w:r>
    </w:p>
    <w:p w:rsidR="0041399E" w:rsidRDefault="006D1100" w:rsidP="001F5DE9">
      <w:pPr>
        <w:rPr>
          <w:b/>
        </w:rPr>
      </w:pPr>
      <w:r w:rsidRPr="006D1100">
        <w:t>Predškolské zariadenie plní v Rakúsku..............................úlohu pri rozhodovaní o odložení vstupu dieťaťa do primárneho vzdelávania.</w:t>
      </w:r>
      <w:r>
        <w:rPr>
          <w:b/>
        </w:rPr>
        <w:t xml:space="preserve">  </w:t>
      </w:r>
    </w:p>
    <w:p w:rsidR="006D1100" w:rsidRDefault="006D1100" w:rsidP="001F5DE9">
      <w:pPr>
        <w:rPr>
          <w:b/>
        </w:rPr>
      </w:pPr>
    </w:p>
    <w:p w:rsidR="00192D63" w:rsidRDefault="00192D63" w:rsidP="001F5DE9">
      <w:pPr>
        <w:rPr>
          <w:b/>
        </w:rPr>
      </w:pPr>
      <w:r>
        <w:rPr>
          <w:b/>
        </w:rPr>
        <w:t>Zariadenia poskytujúce starostlivosť o deti a mládež v Rakúsku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192D63" w:rsidTr="00192D63">
        <w:tc>
          <w:tcPr>
            <w:tcW w:w="4606" w:type="dxa"/>
          </w:tcPr>
          <w:p w:rsidR="00192D63" w:rsidRDefault="00192D63" w:rsidP="001F5DE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92D63">
              <w:rPr>
                <w:b/>
              </w:rPr>
              <w:t>Detské jasle (</w:t>
            </w:r>
            <w:proofErr w:type="spellStart"/>
            <w:r w:rsidRPr="00192D63">
              <w:rPr>
                <w:b/>
              </w:rPr>
              <w:t>Kinderkrippe</w:t>
            </w:r>
            <w:proofErr w:type="spellEnd"/>
            <w:r w:rsidRPr="00192D63">
              <w:rPr>
                <w:b/>
              </w:rPr>
              <w:t>)</w:t>
            </w:r>
          </w:p>
        </w:tc>
        <w:tc>
          <w:tcPr>
            <w:tcW w:w="4606" w:type="dxa"/>
          </w:tcPr>
          <w:p w:rsidR="00192D63" w:rsidRDefault="00192D63" w:rsidP="00192D63"/>
          <w:p w:rsidR="00192D63" w:rsidRPr="00192D63" w:rsidRDefault="00192D63" w:rsidP="00192D63"/>
        </w:tc>
      </w:tr>
      <w:tr w:rsidR="00192D63" w:rsidTr="00192D63">
        <w:tc>
          <w:tcPr>
            <w:tcW w:w="4606" w:type="dxa"/>
          </w:tcPr>
          <w:p w:rsidR="00192D63" w:rsidRDefault="00192D63" w:rsidP="001F5D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06" w:type="dxa"/>
          </w:tcPr>
          <w:p w:rsidR="00192D63" w:rsidRPr="00192D63" w:rsidRDefault="00192D63" w:rsidP="001F5DE9">
            <w:r>
              <w:t>Z</w:t>
            </w:r>
            <w:r w:rsidRPr="00192D63">
              <w:t>ariadenia, ktoré poskytujú starostlivosť pre deti od 3 rokov do 6 rokov</w:t>
            </w:r>
          </w:p>
        </w:tc>
      </w:tr>
      <w:tr w:rsidR="00192D63" w:rsidTr="00192D63">
        <w:tc>
          <w:tcPr>
            <w:tcW w:w="4606" w:type="dxa"/>
          </w:tcPr>
          <w:p w:rsidR="00192D63" w:rsidRDefault="00192D63" w:rsidP="001F5DE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192D63" w:rsidRDefault="00192D63" w:rsidP="001F5DE9">
            <w:pPr>
              <w:rPr>
                <w:b/>
              </w:rPr>
            </w:pPr>
          </w:p>
        </w:tc>
        <w:tc>
          <w:tcPr>
            <w:tcW w:w="4606" w:type="dxa"/>
          </w:tcPr>
          <w:p w:rsidR="00192D63" w:rsidRDefault="00192D63" w:rsidP="001F5DE9">
            <w:pPr>
              <w:rPr>
                <w:b/>
              </w:rPr>
            </w:pPr>
          </w:p>
        </w:tc>
      </w:tr>
      <w:tr w:rsidR="00851C2F" w:rsidTr="00192D63">
        <w:tc>
          <w:tcPr>
            <w:tcW w:w="4606" w:type="dxa"/>
          </w:tcPr>
          <w:p w:rsidR="00851C2F" w:rsidRDefault="00851C2F" w:rsidP="001F5DE9">
            <w:pPr>
              <w:rPr>
                <w:b/>
              </w:rPr>
            </w:pPr>
            <w:r>
              <w:rPr>
                <w:b/>
              </w:rPr>
              <w:t>4. Detské skupiny (</w:t>
            </w:r>
            <w:proofErr w:type="spellStart"/>
            <w:r>
              <w:rPr>
                <w:b/>
              </w:rPr>
              <w:t>Kindergruppen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06" w:type="dxa"/>
          </w:tcPr>
          <w:p w:rsidR="00851C2F" w:rsidRDefault="00851C2F" w:rsidP="001F5DE9">
            <w:pPr>
              <w:rPr>
                <w:b/>
              </w:rPr>
            </w:pPr>
          </w:p>
        </w:tc>
      </w:tr>
      <w:tr w:rsidR="00851C2F" w:rsidTr="00192D63">
        <w:tc>
          <w:tcPr>
            <w:tcW w:w="4606" w:type="dxa"/>
          </w:tcPr>
          <w:p w:rsidR="00851C2F" w:rsidRDefault="00851C2F" w:rsidP="001F5DE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 w:rsidRPr="00851C2F">
              <w:rPr>
                <w:b/>
              </w:rPr>
              <w:t>Tagesmütter</w:t>
            </w:r>
            <w:proofErr w:type="spellEnd"/>
            <w:r w:rsidRPr="00851C2F">
              <w:rPr>
                <w:b/>
              </w:rPr>
              <w:t>/</w:t>
            </w:r>
            <w:proofErr w:type="spellStart"/>
            <w:r w:rsidRPr="00851C2F">
              <w:rPr>
                <w:b/>
              </w:rPr>
              <w:t>tagesväter</w:t>
            </w:r>
            <w:proofErr w:type="spellEnd"/>
          </w:p>
        </w:tc>
        <w:tc>
          <w:tcPr>
            <w:tcW w:w="4606" w:type="dxa"/>
          </w:tcPr>
          <w:p w:rsidR="00851C2F" w:rsidRDefault="00851C2F" w:rsidP="001F5DE9">
            <w:pPr>
              <w:rPr>
                <w:b/>
              </w:rPr>
            </w:pPr>
          </w:p>
        </w:tc>
      </w:tr>
      <w:tr w:rsidR="00192D63" w:rsidTr="00192D63">
        <w:tc>
          <w:tcPr>
            <w:tcW w:w="4606" w:type="dxa"/>
          </w:tcPr>
          <w:p w:rsidR="00192D63" w:rsidRDefault="00851C2F" w:rsidP="001F5DE9">
            <w:pPr>
              <w:rPr>
                <w:b/>
              </w:rPr>
            </w:pPr>
            <w:r>
              <w:rPr>
                <w:b/>
              </w:rPr>
              <w:t>6</w:t>
            </w:r>
            <w:r w:rsidR="00192D63">
              <w:rPr>
                <w:b/>
              </w:rPr>
              <w:t xml:space="preserve">. </w:t>
            </w:r>
            <w:r w:rsidR="00192D63" w:rsidRPr="00192D63">
              <w:rPr>
                <w:b/>
              </w:rPr>
              <w:t>Denné centrá (</w:t>
            </w:r>
            <w:proofErr w:type="spellStart"/>
            <w:r w:rsidR="00192D63" w:rsidRPr="00192D63">
              <w:rPr>
                <w:b/>
              </w:rPr>
              <w:t>Hort</w:t>
            </w:r>
            <w:proofErr w:type="spellEnd"/>
            <w:r w:rsidR="00192D63" w:rsidRPr="00192D63">
              <w:rPr>
                <w:b/>
              </w:rPr>
              <w:t>)</w:t>
            </w:r>
          </w:p>
        </w:tc>
        <w:tc>
          <w:tcPr>
            <w:tcW w:w="4606" w:type="dxa"/>
          </w:tcPr>
          <w:p w:rsidR="00192D63" w:rsidRDefault="00192D63" w:rsidP="001F5DE9">
            <w:pPr>
              <w:rPr>
                <w:b/>
              </w:rPr>
            </w:pPr>
          </w:p>
          <w:p w:rsidR="00192D63" w:rsidRDefault="00192D63" w:rsidP="001F5DE9">
            <w:pPr>
              <w:rPr>
                <w:b/>
              </w:rPr>
            </w:pPr>
          </w:p>
        </w:tc>
      </w:tr>
    </w:tbl>
    <w:p w:rsidR="00E36478" w:rsidRDefault="00E36478" w:rsidP="001F5DE9">
      <w:pPr>
        <w:rPr>
          <w:b/>
        </w:rPr>
      </w:pPr>
    </w:p>
    <w:p w:rsidR="00192D63" w:rsidRDefault="000B6147" w:rsidP="001F5DE9">
      <w:pPr>
        <w:rPr>
          <w:b/>
        </w:rPr>
      </w:pPr>
      <w:r>
        <w:rPr>
          <w:b/>
        </w:rPr>
        <w:lastRenderedPageBreak/>
        <w:t xml:space="preserve">Vzdelávacie oblasti v Rámcových </w:t>
      </w:r>
      <w:proofErr w:type="spellStart"/>
      <w:r>
        <w:rPr>
          <w:b/>
        </w:rPr>
        <w:t>kurikulách</w:t>
      </w:r>
      <w:proofErr w:type="spellEnd"/>
      <w:r>
        <w:rPr>
          <w:b/>
        </w:rPr>
        <w:t>:</w:t>
      </w:r>
    </w:p>
    <w:tbl>
      <w:tblPr>
        <w:tblStyle w:val="Svetlmriekazvraznenie3"/>
        <w:tblW w:w="0" w:type="auto"/>
        <w:tblLook w:val="04A0"/>
      </w:tblPr>
      <w:tblGrid>
        <w:gridCol w:w="4606"/>
        <w:gridCol w:w="4606"/>
      </w:tblGrid>
      <w:tr w:rsidR="000B6147" w:rsidTr="00E36478">
        <w:trPr>
          <w:cnfStyle w:val="100000000000"/>
        </w:trPr>
        <w:tc>
          <w:tcPr>
            <w:cnfStyle w:val="001000000000"/>
            <w:tcW w:w="4606" w:type="dxa"/>
          </w:tcPr>
          <w:p w:rsidR="000B6147" w:rsidRDefault="000B6147" w:rsidP="000B6147">
            <w:pPr>
              <w:jc w:val="center"/>
              <w:rPr>
                <w:b w:val="0"/>
              </w:rPr>
            </w:pPr>
            <w:r>
              <w:rPr>
                <w:b w:val="0"/>
              </w:rPr>
              <w:t>Rakúsko</w:t>
            </w:r>
          </w:p>
        </w:tc>
        <w:tc>
          <w:tcPr>
            <w:tcW w:w="4606" w:type="dxa"/>
          </w:tcPr>
          <w:p w:rsidR="000B6147" w:rsidRDefault="000B6147" w:rsidP="000B6147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Nemecko</w:t>
            </w:r>
          </w:p>
        </w:tc>
      </w:tr>
      <w:tr w:rsidR="000B6147" w:rsidTr="00E36478">
        <w:trPr>
          <w:cnfStyle w:val="000000100000"/>
        </w:trPr>
        <w:tc>
          <w:tcPr>
            <w:cnfStyle w:val="001000000000"/>
            <w:tcW w:w="4606" w:type="dxa"/>
          </w:tcPr>
          <w:p w:rsidR="000B6147" w:rsidRDefault="000B6147" w:rsidP="001F5DE9">
            <w:pPr>
              <w:rPr>
                <w:b w:val="0"/>
              </w:rPr>
            </w:pPr>
            <w:r>
              <w:rPr>
                <w:b w:val="0"/>
              </w:rPr>
              <w:t>Jazyk a</w:t>
            </w:r>
            <w:r w:rsidR="0097702B">
              <w:rPr>
                <w:b w:val="0"/>
              </w:rPr>
              <w:t> </w:t>
            </w:r>
            <w:r>
              <w:rPr>
                <w:b w:val="0"/>
              </w:rPr>
              <w:t>komunikácia</w:t>
            </w:r>
          </w:p>
        </w:tc>
        <w:tc>
          <w:tcPr>
            <w:tcW w:w="4606" w:type="dxa"/>
          </w:tcPr>
          <w:p w:rsidR="000B6147" w:rsidRDefault="000B6147" w:rsidP="001F5DE9">
            <w:pPr>
              <w:cnfStyle w:val="000000100000"/>
              <w:rPr>
                <w:b/>
              </w:rPr>
            </w:pPr>
          </w:p>
        </w:tc>
      </w:tr>
      <w:tr w:rsidR="000B6147" w:rsidTr="00E36478">
        <w:trPr>
          <w:cnfStyle w:val="000000010000"/>
        </w:trPr>
        <w:tc>
          <w:tcPr>
            <w:cnfStyle w:val="001000000000"/>
            <w:tcW w:w="4606" w:type="dxa"/>
          </w:tcPr>
          <w:p w:rsidR="000B6147" w:rsidRDefault="000B6147" w:rsidP="001F5DE9">
            <w:pPr>
              <w:rPr>
                <w:b w:val="0"/>
              </w:rPr>
            </w:pPr>
          </w:p>
        </w:tc>
        <w:tc>
          <w:tcPr>
            <w:tcW w:w="4606" w:type="dxa"/>
          </w:tcPr>
          <w:p w:rsidR="000B6147" w:rsidRPr="00E707F2" w:rsidRDefault="000B6147" w:rsidP="001F5DE9">
            <w:pPr>
              <w:cnfStyle w:val="000000010000"/>
            </w:pPr>
            <w:r w:rsidRPr="00E707F2">
              <w:t>Osobnostný a spoločenský rozvoj, rozvoj hodnôt/náboženskej výchovy</w:t>
            </w:r>
          </w:p>
        </w:tc>
      </w:tr>
      <w:tr w:rsidR="000B6147" w:rsidTr="00E36478">
        <w:trPr>
          <w:cnfStyle w:val="000000100000"/>
        </w:trPr>
        <w:tc>
          <w:tcPr>
            <w:cnfStyle w:val="001000000000"/>
            <w:tcW w:w="4606" w:type="dxa"/>
          </w:tcPr>
          <w:p w:rsidR="000B6147" w:rsidRDefault="000B6147" w:rsidP="001F5DE9">
            <w:pPr>
              <w:rPr>
                <w:b w:val="0"/>
              </w:rPr>
            </w:pPr>
            <w:r>
              <w:rPr>
                <w:b w:val="0"/>
              </w:rPr>
              <w:t>Etika a</w:t>
            </w:r>
            <w:r w:rsidR="0097702B">
              <w:rPr>
                <w:b w:val="0"/>
              </w:rPr>
              <w:t> </w:t>
            </w:r>
            <w:r>
              <w:rPr>
                <w:b w:val="0"/>
              </w:rPr>
              <w:t>spoločnosť</w:t>
            </w:r>
          </w:p>
        </w:tc>
        <w:tc>
          <w:tcPr>
            <w:tcW w:w="4606" w:type="dxa"/>
          </w:tcPr>
          <w:p w:rsidR="000B6147" w:rsidRDefault="000B6147" w:rsidP="001F5DE9">
            <w:pPr>
              <w:cnfStyle w:val="000000100000"/>
              <w:rPr>
                <w:b/>
              </w:rPr>
            </w:pPr>
          </w:p>
          <w:p w:rsidR="000B6147" w:rsidRDefault="000B6147" w:rsidP="001F5DE9">
            <w:pPr>
              <w:cnfStyle w:val="000000100000"/>
              <w:rPr>
                <w:b/>
              </w:rPr>
            </w:pPr>
          </w:p>
        </w:tc>
      </w:tr>
      <w:tr w:rsidR="000B6147" w:rsidTr="00E36478">
        <w:trPr>
          <w:cnfStyle w:val="000000010000"/>
        </w:trPr>
        <w:tc>
          <w:tcPr>
            <w:cnfStyle w:val="001000000000"/>
            <w:tcW w:w="4606" w:type="dxa"/>
          </w:tcPr>
          <w:p w:rsidR="000B6147" w:rsidRDefault="000B6147" w:rsidP="001F5DE9">
            <w:pPr>
              <w:rPr>
                <w:b w:val="0"/>
              </w:rPr>
            </w:pPr>
          </w:p>
        </w:tc>
        <w:tc>
          <w:tcPr>
            <w:tcW w:w="4606" w:type="dxa"/>
          </w:tcPr>
          <w:p w:rsidR="000B6147" w:rsidRDefault="000B6147" w:rsidP="001F5DE9">
            <w:pPr>
              <w:cnfStyle w:val="000000010000"/>
            </w:pPr>
            <w:r w:rsidRPr="00E707F2">
              <w:t>Výtvarné umenie/práca s rôznymi médiami</w:t>
            </w:r>
          </w:p>
          <w:p w:rsidR="00E707F2" w:rsidRPr="00E707F2" w:rsidRDefault="00E707F2" w:rsidP="001F5DE9">
            <w:pPr>
              <w:cnfStyle w:val="000000010000"/>
            </w:pPr>
          </w:p>
        </w:tc>
      </w:tr>
      <w:tr w:rsidR="000B6147" w:rsidTr="00E36478">
        <w:trPr>
          <w:cnfStyle w:val="000000100000"/>
        </w:trPr>
        <w:tc>
          <w:tcPr>
            <w:cnfStyle w:val="001000000000"/>
            <w:tcW w:w="4606" w:type="dxa"/>
          </w:tcPr>
          <w:p w:rsidR="000B6147" w:rsidRDefault="000B6147" w:rsidP="001F5DE9">
            <w:pPr>
              <w:rPr>
                <w:b w:val="0"/>
              </w:rPr>
            </w:pPr>
          </w:p>
        </w:tc>
        <w:tc>
          <w:tcPr>
            <w:tcW w:w="4606" w:type="dxa"/>
          </w:tcPr>
          <w:p w:rsidR="000B6147" w:rsidRPr="00E707F2" w:rsidRDefault="000B6147" w:rsidP="00851C2F">
            <w:pPr>
              <w:cnfStyle w:val="000000100000"/>
            </w:pPr>
            <w:r w:rsidRPr="00E707F2">
              <w:t>Telo, pohyb a zdravie</w:t>
            </w:r>
          </w:p>
        </w:tc>
      </w:tr>
      <w:tr w:rsidR="000B6147" w:rsidTr="00E36478">
        <w:trPr>
          <w:cnfStyle w:val="000000010000"/>
        </w:trPr>
        <w:tc>
          <w:tcPr>
            <w:cnfStyle w:val="001000000000"/>
            <w:tcW w:w="4606" w:type="dxa"/>
          </w:tcPr>
          <w:p w:rsidR="000B6147" w:rsidRDefault="000B6147" w:rsidP="001F5DE9">
            <w:pPr>
              <w:rPr>
                <w:b w:val="0"/>
              </w:rPr>
            </w:pPr>
            <w:r>
              <w:rPr>
                <w:b w:val="0"/>
              </w:rPr>
              <w:t>Príroda a</w:t>
            </w:r>
            <w:r w:rsidR="0097702B">
              <w:rPr>
                <w:b w:val="0"/>
              </w:rPr>
              <w:t> </w:t>
            </w:r>
            <w:r>
              <w:rPr>
                <w:b w:val="0"/>
              </w:rPr>
              <w:t>technológia</w:t>
            </w:r>
          </w:p>
        </w:tc>
        <w:tc>
          <w:tcPr>
            <w:tcW w:w="4606" w:type="dxa"/>
          </w:tcPr>
          <w:p w:rsidR="00E707F2" w:rsidRDefault="00E707F2" w:rsidP="001F5DE9">
            <w:pPr>
              <w:cnfStyle w:val="000000010000"/>
              <w:rPr>
                <w:b/>
              </w:rPr>
            </w:pPr>
          </w:p>
        </w:tc>
      </w:tr>
    </w:tbl>
    <w:p w:rsidR="00851C2F" w:rsidRDefault="00851C2F" w:rsidP="001F5DE9">
      <w:pPr>
        <w:rPr>
          <w:b/>
        </w:rPr>
      </w:pPr>
    </w:p>
    <w:p w:rsidR="00E36478" w:rsidRDefault="00E36478" w:rsidP="001F5DE9">
      <w:pPr>
        <w:rPr>
          <w:b/>
        </w:rPr>
      </w:pPr>
    </w:p>
    <w:tbl>
      <w:tblPr>
        <w:tblW w:w="10404" w:type="dxa"/>
        <w:tblCellMar>
          <w:left w:w="0" w:type="dxa"/>
          <w:right w:w="0" w:type="dxa"/>
        </w:tblCellMar>
        <w:tblLook w:val="04A0"/>
      </w:tblPr>
      <w:tblGrid>
        <w:gridCol w:w="2314"/>
        <w:gridCol w:w="1868"/>
        <w:gridCol w:w="3043"/>
        <w:gridCol w:w="3179"/>
      </w:tblGrid>
      <w:tr w:rsidR="008457F0" w:rsidRPr="00752E05" w:rsidTr="008457F0">
        <w:trPr>
          <w:trHeight w:val="6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86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ascii="Arial" w:eastAsia="Times New Roman" w:hAnsi="Arial"/>
                <w:color w:val="auto"/>
                <w:sz w:val="36"/>
                <w:szCs w:val="36"/>
                <w:lang w:eastAsia="sk-SK"/>
              </w:rPr>
            </w:pP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86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ascii="Arial" w:eastAsia="Times New Roman" w:hAnsi="Arial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ascii="Calibri" w:eastAsia="Times New Roman" w:hAnsi="Calibri"/>
                <w:b/>
                <w:bCs/>
                <w:color w:val="FFFFFF"/>
                <w:kern w:val="24"/>
                <w:sz w:val="36"/>
                <w:szCs w:val="36"/>
                <w:lang w:eastAsia="sk-SK"/>
              </w:rPr>
              <w:t xml:space="preserve">Slovensko 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86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ascii="Arial" w:eastAsia="Times New Roman" w:hAnsi="Arial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ascii="Calibri" w:eastAsia="Times New Roman" w:hAnsi="Calibri"/>
                <w:b/>
                <w:bCs/>
                <w:color w:val="FFFFFF"/>
                <w:kern w:val="24"/>
                <w:sz w:val="36"/>
                <w:szCs w:val="36"/>
                <w:lang w:eastAsia="sk-SK"/>
              </w:rPr>
              <w:t xml:space="preserve">Nemecko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86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ascii="Arial" w:eastAsia="Times New Roman" w:hAnsi="Arial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ascii="Calibri" w:eastAsia="Times New Roman" w:hAnsi="Calibri"/>
                <w:b/>
                <w:bCs/>
                <w:color w:val="FFFFFF"/>
                <w:kern w:val="24"/>
                <w:sz w:val="36"/>
                <w:szCs w:val="36"/>
                <w:lang w:eastAsia="sk-SK"/>
              </w:rPr>
              <w:t xml:space="preserve">Rakúsko </w:t>
            </w:r>
          </w:p>
        </w:tc>
      </w:tr>
      <w:tr w:rsidR="008457F0" w:rsidRPr="00752E05" w:rsidTr="008457F0">
        <w:trPr>
          <w:trHeight w:val="103"/>
        </w:trPr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b/>
                <w:bCs/>
                <w:kern w:val="24"/>
                <w:szCs w:val="24"/>
                <w:lang w:eastAsia="sk-SK"/>
              </w:rPr>
              <w:t xml:space="preserve">Trvanie povinnej školskej dochádzky </w:t>
            </w:r>
          </w:p>
        </w:tc>
        <w:tc>
          <w:tcPr>
            <w:tcW w:w="18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6D1100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4"/>
                <w:lang w:eastAsia="sk-SK"/>
              </w:rPr>
            </w:pPr>
            <w:r w:rsidRPr="006D1100">
              <w:rPr>
                <w:rFonts w:eastAsia="Times New Roman" w:cs="Times New Roman"/>
                <w:color w:val="auto"/>
                <w:szCs w:val="24"/>
                <w:lang w:eastAsia="sk-SK"/>
              </w:rPr>
              <w:t>9 rokov</w:t>
            </w:r>
          </w:p>
        </w:tc>
        <w:tc>
          <w:tcPr>
            <w:tcW w:w="3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>12</w:t>
            </w:r>
            <w:r w:rsidR="006D1100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 rokov</w:t>
            </w: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 </w:t>
            </w:r>
          </w:p>
        </w:tc>
        <w:tc>
          <w:tcPr>
            <w:tcW w:w="3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 </w:t>
            </w:r>
            <w:r w:rsidR="006D1100">
              <w:rPr>
                <w:rFonts w:eastAsia="Times New Roman" w:cs="Times New Roman"/>
                <w:kern w:val="24"/>
                <w:szCs w:val="24"/>
                <w:lang w:eastAsia="sk-SK"/>
              </w:rPr>
              <w:t>9 rokov</w:t>
            </w:r>
          </w:p>
        </w:tc>
      </w:tr>
      <w:tr w:rsidR="008457F0" w:rsidRPr="00752E05" w:rsidTr="008457F0">
        <w:trPr>
          <w:trHeight w:val="193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b/>
                <w:bCs/>
                <w:kern w:val="24"/>
                <w:szCs w:val="24"/>
                <w:lang w:eastAsia="sk-SK"/>
              </w:rPr>
              <w:t xml:space="preserve">Materské školy spadajú pod Ministerstvo školstva 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6D1100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4"/>
                <w:lang w:eastAsia="sk-SK"/>
              </w:rPr>
            </w:pPr>
            <w:r w:rsidRPr="006D1100">
              <w:rPr>
                <w:rFonts w:eastAsia="Times New Roman" w:cs="Times New Roman"/>
                <w:color w:val="auto"/>
                <w:szCs w:val="24"/>
                <w:lang w:eastAsia="sk-SK"/>
              </w:rPr>
              <w:t>Áno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</w:tr>
      <w:tr w:rsidR="008457F0" w:rsidRPr="00752E05" w:rsidTr="008457F0">
        <w:trPr>
          <w:trHeight w:val="103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b/>
                <w:bCs/>
                <w:kern w:val="24"/>
                <w:szCs w:val="24"/>
                <w:lang w:eastAsia="sk-SK"/>
              </w:rPr>
              <w:t xml:space="preserve">Zriadenie nultých ročníkov 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6D1100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4"/>
                <w:lang w:eastAsia="sk-SK"/>
              </w:rPr>
            </w:pPr>
            <w:r w:rsidRPr="006D1100">
              <w:rPr>
                <w:rFonts w:eastAsia="Times New Roman" w:cs="Times New Roman"/>
                <w:color w:val="auto"/>
                <w:szCs w:val="24"/>
                <w:lang w:eastAsia="sk-SK"/>
              </w:rPr>
              <w:t>Nie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Nie </w:t>
            </w:r>
          </w:p>
        </w:tc>
      </w:tr>
      <w:tr w:rsidR="008457F0" w:rsidRPr="00752E05" w:rsidTr="008457F0">
        <w:trPr>
          <w:trHeight w:val="149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b/>
                <w:bCs/>
                <w:kern w:val="24"/>
                <w:szCs w:val="24"/>
                <w:lang w:eastAsia="sk-SK"/>
              </w:rPr>
              <w:t xml:space="preserve">Povinná predškolská výchova 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Nie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</w:tr>
      <w:tr w:rsidR="008457F0" w:rsidRPr="00752E05" w:rsidTr="008457F0">
        <w:trPr>
          <w:trHeight w:val="149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b/>
                <w:bCs/>
                <w:kern w:val="24"/>
                <w:szCs w:val="24"/>
                <w:lang w:eastAsia="sk-SK"/>
              </w:rPr>
              <w:t xml:space="preserve">Zariadenia starostlivosti o deti a mládež 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>Jasle, materské školy, „</w:t>
            </w:r>
            <w:proofErr w:type="spellStart"/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>Kitas</w:t>
            </w:r>
            <w:proofErr w:type="spellEnd"/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“,  denná starostlivosť o deti, predškolské triedy, školské kluby detí, </w:t>
            </w:r>
            <w:proofErr w:type="spellStart"/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>tagesmütter</w:t>
            </w:r>
            <w:proofErr w:type="spellEnd"/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>/</w:t>
            </w:r>
            <w:proofErr w:type="spellStart"/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>tagesväter</w:t>
            </w:r>
            <w:proofErr w:type="spellEnd"/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9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</w:tr>
      <w:tr w:rsidR="008457F0" w:rsidRPr="00752E05" w:rsidTr="008457F0">
        <w:trPr>
          <w:trHeight w:val="198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b/>
                <w:bCs/>
                <w:kern w:val="24"/>
                <w:szCs w:val="24"/>
                <w:lang w:eastAsia="sk-SK"/>
              </w:rPr>
              <w:t xml:space="preserve">Sekundárne vzdelávanie tvoria: 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2E05" w:rsidRPr="00752E05" w:rsidRDefault="00752E05" w:rsidP="00752E05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36"/>
                <w:szCs w:val="36"/>
                <w:lang w:eastAsia="sk-SK"/>
              </w:rPr>
            </w:pPr>
            <w:r w:rsidRPr="00752E05">
              <w:rPr>
                <w:rFonts w:eastAsia="Times New Roman" w:cs="Times New Roman"/>
                <w:kern w:val="24"/>
                <w:szCs w:val="24"/>
                <w:lang w:eastAsia="sk-SK"/>
              </w:rPr>
              <w:t xml:space="preserve">Sekundárny stupeň I. (Nová stredná škola, Nižší  stupeň všeobecného gymnázia), Sekundárny stupeň II. (učňovské školy, Vyššie odborné školy, Vyšší ročník všeobecného gymnázia, prípravy na povolanie </w:t>
            </w:r>
          </w:p>
        </w:tc>
      </w:tr>
    </w:tbl>
    <w:p w:rsidR="00851C2F" w:rsidRDefault="00C65C9B" w:rsidP="001F5DE9">
      <w:pPr>
        <w:rPr>
          <w:b/>
        </w:rPr>
      </w:pPr>
      <w:r>
        <w:rPr>
          <w:b/>
        </w:rPr>
        <w:lastRenderedPageBreak/>
        <w:t>ZDROJE:</w:t>
      </w:r>
    </w:p>
    <w:p w:rsidR="00C65C9B" w:rsidRDefault="00C65C9B" w:rsidP="00C65C9B">
      <w:pPr>
        <w:spacing w:after="100" w:afterAutospacing="1"/>
      </w:pPr>
      <w:r>
        <w:t xml:space="preserve">WALTEROVÁ, E. 2006.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systému v </w:t>
      </w:r>
      <w:proofErr w:type="spellStart"/>
      <w:r>
        <w:t>Německu</w:t>
      </w:r>
      <w:proofErr w:type="spellEnd"/>
      <w:r>
        <w:t xml:space="preserve">. Dostupné na internete: </w:t>
      </w:r>
      <w:hyperlink r:id="rId5" w:history="1">
        <w:r w:rsidRPr="00865493">
          <w:rPr>
            <w:rStyle w:val="Hypertextovprepojenie"/>
          </w:rPr>
          <w:t>https://clanky.rvp.cz/clanek/o/z/510/STRUKTURA-VZDELAVACIHO-SYSTEMU-V-NEMECKU.html/</w:t>
        </w:r>
      </w:hyperlink>
    </w:p>
    <w:p w:rsidR="00E36478" w:rsidRDefault="00E36478" w:rsidP="00C65C9B">
      <w:pPr>
        <w:spacing w:after="100" w:afterAutospacing="1"/>
      </w:pPr>
      <w:hyperlink r:id="rId6" w:history="1">
        <w:r w:rsidRPr="00E36478">
          <w:rPr>
            <w:rStyle w:val="Hypertextovprepojenie"/>
          </w:rPr>
          <w:t>http://www.bildungssystem.at/</w:t>
        </w:r>
      </w:hyperlink>
    </w:p>
    <w:p w:rsidR="00C65C9B" w:rsidRDefault="00C65C9B" w:rsidP="00C65C9B">
      <w:pPr>
        <w:spacing w:after="100" w:afterAutospacing="1"/>
      </w:pPr>
      <w:hyperlink r:id="rId7" w:history="1">
        <w:r w:rsidRPr="00865493">
          <w:rPr>
            <w:rStyle w:val="Hypertextovprepojenie"/>
          </w:rPr>
          <w:t>https://webgate.ec.europa.eu/fpfis/mwikis/eurydice/index.php/Germany:Organisation_of_Programmes_for_Children_over_2-3_years</w:t>
        </w:r>
      </w:hyperlink>
    </w:p>
    <w:p w:rsidR="00C65C9B" w:rsidRDefault="00C65C9B" w:rsidP="00C65C9B">
      <w:pPr>
        <w:spacing w:after="100" w:afterAutospacing="1"/>
      </w:pPr>
      <w:hyperlink r:id="rId8" w:history="1">
        <w:r w:rsidRPr="00865493">
          <w:rPr>
            <w:rStyle w:val="Hypertextovprepojenie"/>
          </w:rPr>
          <w:t>https://webgate.ec.europa.eu/fpfis/mwikis/eurydice/index.php/Germany:Separate_Special_Education_Needs_Provision_in_Early_Childhood_and_School_Education#Separate_special_education_needs_provision_in_early_childhood_education_and_care</w:t>
        </w:r>
      </w:hyperlink>
    </w:p>
    <w:p w:rsidR="00C65C9B" w:rsidRDefault="00C65C9B" w:rsidP="00C65C9B">
      <w:pPr>
        <w:spacing w:after="100" w:afterAutospacing="1"/>
      </w:pPr>
      <w:hyperlink r:id="rId9" w:history="1">
        <w:r w:rsidRPr="00865493">
          <w:rPr>
            <w:rStyle w:val="Hypertextovprepojenie"/>
          </w:rPr>
          <w:t>https://publications.europa.eu/en/publication-detail/-/publication/4bda53c1-7352-11e5-86db-01aa75ed71a1/language-sk</w:t>
        </w:r>
      </w:hyperlink>
    </w:p>
    <w:p w:rsidR="00C65C9B" w:rsidRDefault="00C65C9B" w:rsidP="00C65C9B">
      <w:pPr>
        <w:spacing w:after="100" w:afterAutospacing="1"/>
      </w:pPr>
      <w:hyperlink r:id="rId10" w:history="1">
        <w:r w:rsidRPr="00865493">
          <w:rPr>
            <w:rStyle w:val="Hypertextovprepojenie"/>
          </w:rPr>
          <w:t>http://www.oecd.org/education/education-at-a-glance-19991487.htm</w:t>
        </w:r>
      </w:hyperlink>
    </w:p>
    <w:p w:rsidR="00C65C9B" w:rsidRDefault="00C65C9B" w:rsidP="00C65C9B">
      <w:pPr>
        <w:spacing w:after="100" w:afterAutospacing="1"/>
      </w:pPr>
      <w:hyperlink r:id="rId11" w:history="1">
        <w:r w:rsidRPr="00865493">
          <w:rPr>
            <w:rStyle w:val="Hypertextovprepojenie"/>
          </w:rPr>
          <w:t>https://webgate.ec.europa.eu/fpfis/mwikis/eurydice/index.php/Austria:Statistics_on_Organisation_and_Governance#Early_Childhood_Education_and_Care_.28ECEC.29</w:t>
        </w:r>
      </w:hyperlink>
    </w:p>
    <w:p w:rsidR="00C65C9B" w:rsidRDefault="00C65C9B" w:rsidP="00C65C9B">
      <w:pPr>
        <w:spacing w:after="100" w:afterAutospacing="1"/>
      </w:pPr>
      <w:hyperlink r:id="rId12" w:history="1">
        <w:r w:rsidRPr="00865493">
          <w:rPr>
            <w:rStyle w:val="Hypertextovprepojenie"/>
          </w:rPr>
          <w:t>https://bildung.bmbwf.gv.at/ministerium/vp/2009/bildungsrahmenplan_18698.pdf?6ar4ba</w:t>
        </w:r>
      </w:hyperlink>
    </w:p>
    <w:p w:rsidR="00C65C9B" w:rsidRDefault="00C65C9B" w:rsidP="00C65C9B">
      <w:pPr>
        <w:spacing w:after="100" w:afterAutospacing="1"/>
      </w:pPr>
      <w:hyperlink r:id="rId13" w:history="1">
        <w:r w:rsidRPr="00865493">
          <w:rPr>
            <w:rStyle w:val="Hypertextovprepojenie"/>
          </w:rPr>
          <w:t>https://www.kmk.org/fileadmin/veroeffentlichungen_beschluesse/2004/2004_06_03-Fruehe-Bildung-Kindertageseinrichtungen.pdf</w:t>
        </w:r>
      </w:hyperlink>
    </w:p>
    <w:p w:rsidR="00C65C9B" w:rsidRDefault="00C65C9B" w:rsidP="00C65C9B">
      <w:pPr>
        <w:spacing w:after="100" w:afterAutospacing="1"/>
      </w:pPr>
      <w:hyperlink r:id="rId14" w:history="1">
        <w:r w:rsidRPr="00865493">
          <w:rPr>
            <w:rStyle w:val="Hypertextovprepojenie"/>
          </w:rPr>
          <w:t>https://www.bildungsserver.de/Bildungsplaene-der-Bundeslaender-fuer-die-fruehe-Bildung-in-Kindertageseinrichtungen-2027-de.html</w:t>
        </w:r>
      </w:hyperlink>
    </w:p>
    <w:p w:rsidR="00C65C9B" w:rsidRDefault="00C65C9B" w:rsidP="00C65C9B">
      <w:pPr>
        <w:spacing w:after="100" w:afterAutospacing="1"/>
      </w:pPr>
      <w:hyperlink r:id="rId15" w:history="1">
        <w:r w:rsidRPr="00865493">
          <w:rPr>
            <w:rStyle w:val="Hypertextovprepojenie"/>
          </w:rPr>
          <w:t>https://europa.eu/european-union/about-eu/countries/member-countries/germany_sk</w:t>
        </w:r>
      </w:hyperlink>
    </w:p>
    <w:p w:rsidR="00C65C9B" w:rsidRDefault="00C65C9B" w:rsidP="00C65C9B">
      <w:pPr>
        <w:spacing w:after="100" w:afterAutospacing="1"/>
      </w:pPr>
      <w:hyperlink r:id="rId16" w:history="1">
        <w:r w:rsidRPr="00865493">
          <w:rPr>
            <w:rStyle w:val="Hypertextovprepojenie"/>
          </w:rPr>
          <w:t>https://europa.eu/european-union/about-eu/countries/member-countries/austria_sk</w:t>
        </w:r>
      </w:hyperlink>
    </w:p>
    <w:p w:rsidR="00C65C9B" w:rsidRDefault="00C65C9B" w:rsidP="00C65C9B">
      <w:pPr>
        <w:spacing w:after="100" w:afterAutospacing="1"/>
      </w:pPr>
    </w:p>
    <w:p w:rsidR="00C65C9B" w:rsidRPr="00C65C9B" w:rsidRDefault="00C65C9B" w:rsidP="001F5DE9"/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Default="00851C2F" w:rsidP="001F5DE9">
      <w:pPr>
        <w:rPr>
          <w:b/>
        </w:rPr>
      </w:pPr>
    </w:p>
    <w:p w:rsidR="00851C2F" w:rsidRPr="00851C2F" w:rsidRDefault="00851C2F" w:rsidP="00851C2F">
      <w:pPr>
        <w:rPr>
          <w:b/>
        </w:rPr>
      </w:pPr>
      <w:proofErr w:type="spellStart"/>
      <w:r w:rsidRPr="00851C2F">
        <w:rPr>
          <w:b/>
        </w:rPr>
        <w:t>Deň-matky</w:t>
      </w:r>
      <w:proofErr w:type="spellEnd"/>
      <w:r w:rsidRPr="00851C2F">
        <w:rPr>
          <w:b/>
        </w:rPr>
        <w:t xml:space="preserve"> a </w:t>
      </w:r>
      <w:proofErr w:type="spellStart"/>
      <w:r w:rsidRPr="00851C2F">
        <w:rPr>
          <w:b/>
        </w:rPr>
        <w:t>otcovia-deti</w:t>
      </w:r>
      <w:proofErr w:type="spellEnd"/>
      <w:r w:rsidRPr="00851C2F">
        <w:rPr>
          <w:b/>
        </w:rPr>
        <w:t xml:space="preserve"> majú tendenciu starať sa o dojčatá väčšinou spolu so svojimi vlastnými deťmi v súkromnej domácnosti. Dôležitosť tejto formy starostlivosti sa v posledných rokoch výrazne zvýšila, pretože na jednej strane sa zvýšil počet detí dennej starostlivosti a na druhej strane sa zlepšila kvalifikácia denných detí. V niektorých federálnych štátoch je školenie povinné.</w:t>
      </w:r>
    </w:p>
    <w:p w:rsidR="00851C2F" w:rsidRPr="00851C2F" w:rsidRDefault="00851C2F" w:rsidP="00851C2F">
      <w:pPr>
        <w:rPr>
          <w:b/>
        </w:rPr>
      </w:pPr>
    </w:p>
    <w:p w:rsidR="00851C2F" w:rsidRDefault="00851C2F" w:rsidP="00851C2F">
      <w:pPr>
        <w:rPr>
          <w:b/>
        </w:rPr>
      </w:pPr>
      <w:r w:rsidRPr="00851C2F">
        <w:rPr>
          <w:b/>
        </w:rPr>
        <w:lastRenderedPageBreak/>
        <w:t>Skupiny detí sa usadili popri tradičných zariadeniach starostlivosti. Vyznačujú sa vysokou mierou rodičovskej účasti a rodičovskej zodpovednosti. Deti sa zvyčajne starajú o vekovo zmiešané skupiny piatich až desiatich detí. V niektorých federálnych štátoch sa termín detská skupina používa aj v jasliach a iných zariadeniach zmiešaného veku.</w:t>
      </w:r>
    </w:p>
    <w:p w:rsidR="00851C2F" w:rsidRDefault="00851C2F" w:rsidP="001F5DE9">
      <w:pPr>
        <w:rPr>
          <w:b/>
        </w:rPr>
      </w:pPr>
    </w:p>
    <w:p w:rsidR="0041399E" w:rsidRDefault="0041399E" w:rsidP="002D22ED">
      <w:pPr>
        <w:jc w:val="center"/>
        <w:rPr>
          <w:b/>
        </w:rPr>
      </w:pPr>
    </w:p>
    <w:p w:rsidR="0041399E" w:rsidRDefault="0041399E" w:rsidP="002D22ED">
      <w:pPr>
        <w:jc w:val="center"/>
        <w:rPr>
          <w:b/>
        </w:rPr>
      </w:pPr>
    </w:p>
    <w:p w:rsidR="0041399E" w:rsidRDefault="0041399E" w:rsidP="002D22ED">
      <w:pPr>
        <w:jc w:val="center"/>
        <w:rPr>
          <w:b/>
        </w:rPr>
      </w:pPr>
    </w:p>
    <w:p w:rsidR="0041399E" w:rsidRDefault="0041399E" w:rsidP="002D22ED">
      <w:pPr>
        <w:jc w:val="center"/>
        <w:rPr>
          <w:b/>
        </w:rPr>
      </w:pPr>
    </w:p>
    <w:p w:rsidR="002D22ED" w:rsidRPr="002D22ED" w:rsidRDefault="002D22ED" w:rsidP="002D22ED">
      <w:pPr>
        <w:jc w:val="left"/>
        <w:rPr>
          <w:b/>
        </w:rPr>
      </w:pPr>
    </w:p>
    <w:sectPr w:rsidR="002D22ED" w:rsidRPr="002D22ED" w:rsidSect="00E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B48"/>
    <w:multiLevelType w:val="hybridMultilevel"/>
    <w:tmpl w:val="15B05C0C"/>
    <w:lvl w:ilvl="0" w:tplc="8C007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B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F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0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C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2ED"/>
    <w:rsid w:val="000B6147"/>
    <w:rsid w:val="00152AED"/>
    <w:rsid w:val="001879DB"/>
    <w:rsid w:val="00192D63"/>
    <w:rsid w:val="001B528C"/>
    <w:rsid w:val="001F5DE9"/>
    <w:rsid w:val="002D22ED"/>
    <w:rsid w:val="00374C63"/>
    <w:rsid w:val="0041399E"/>
    <w:rsid w:val="004975C2"/>
    <w:rsid w:val="006D1100"/>
    <w:rsid w:val="00752E05"/>
    <w:rsid w:val="008457F0"/>
    <w:rsid w:val="00851C2F"/>
    <w:rsid w:val="0097702B"/>
    <w:rsid w:val="00A8350B"/>
    <w:rsid w:val="00C65C9B"/>
    <w:rsid w:val="00DC781F"/>
    <w:rsid w:val="00E36478"/>
    <w:rsid w:val="00E707F2"/>
    <w:rsid w:val="00EE3D3E"/>
    <w:rsid w:val="00F34BFB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AED"/>
    <w:pPr>
      <w:spacing w:line="360" w:lineRule="auto"/>
      <w:jc w:val="both"/>
    </w:pPr>
  </w:style>
  <w:style w:type="paragraph" w:styleId="Nadpis1">
    <w:name w:val="heading 1"/>
    <w:aliases w:val="dva"/>
    <w:basedOn w:val="Normlny"/>
    <w:next w:val="Normlny"/>
    <w:link w:val="Nadpis1Char"/>
    <w:uiPriority w:val="9"/>
    <w:qFormat/>
    <w:rsid w:val="00152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2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va Char"/>
    <w:basedOn w:val="Predvolenpsmoodseku"/>
    <w:link w:val="Nadpis1"/>
    <w:uiPriority w:val="9"/>
    <w:rsid w:val="0015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5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7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75C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riadkovania">
    <w:name w:val="No Spacing"/>
    <w:uiPriority w:val="1"/>
    <w:rsid w:val="004975C2"/>
  </w:style>
  <w:style w:type="paragraph" w:styleId="Odsekzoznamu">
    <w:name w:val="List Paragraph"/>
    <w:basedOn w:val="Normlny"/>
    <w:uiPriority w:val="34"/>
    <w:qFormat/>
    <w:rsid w:val="00152AE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aliases w:val="top"/>
    <w:basedOn w:val="Normlny"/>
    <w:next w:val="Normlny"/>
    <w:link w:val="NzovChar"/>
    <w:uiPriority w:val="10"/>
    <w:qFormat/>
    <w:rsid w:val="00152AE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NzovChar">
    <w:name w:val="Názov Char"/>
    <w:aliases w:val="top Char"/>
    <w:basedOn w:val="Predvolenpsmoodseku"/>
    <w:link w:val="Nzov"/>
    <w:uiPriority w:val="10"/>
    <w:rsid w:val="00152AED"/>
    <w:rPr>
      <w:rFonts w:eastAsiaTheme="majorEastAsia" w:cstheme="majorBidi"/>
      <w:b/>
      <w:spacing w:val="5"/>
      <w:kern w:val="28"/>
      <w:sz w:val="32"/>
      <w:szCs w:val="52"/>
    </w:rPr>
  </w:style>
  <w:style w:type="character" w:styleId="Siln">
    <w:name w:val="Strong"/>
    <w:basedOn w:val="Predvolenpsmoodseku"/>
    <w:uiPriority w:val="22"/>
    <w:qFormat/>
    <w:rsid w:val="00152AED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152AED"/>
    <w:pPr>
      <w:spacing w:line="276" w:lineRule="auto"/>
      <w:outlineLvl w:val="9"/>
    </w:pPr>
  </w:style>
  <w:style w:type="character" w:styleId="Hypertextovprepojenie">
    <w:name w:val="Hyperlink"/>
    <w:basedOn w:val="Predvolenpsmoodseku"/>
    <w:uiPriority w:val="99"/>
    <w:unhideWhenUsed/>
    <w:rsid w:val="001F5DE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92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2">
    <w:name w:val="Medium Shading 1 Accent 2"/>
    <w:basedOn w:val="Normlnatabuka"/>
    <w:uiPriority w:val="63"/>
    <w:rsid w:val="000B614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nywebov">
    <w:name w:val="Normal (Web)"/>
    <w:basedOn w:val="Normlny"/>
    <w:uiPriority w:val="99"/>
    <w:unhideWhenUsed/>
    <w:rsid w:val="00752E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6478"/>
    <w:rPr>
      <w:color w:val="800080" w:themeColor="followedHyperlink"/>
      <w:u w:val="single"/>
    </w:rPr>
  </w:style>
  <w:style w:type="table" w:styleId="Strednpodfarbenie2zvraznenie4">
    <w:name w:val="Medium Shading 2 Accent 4"/>
    <w:basedOn w:val="Normlnatabuka"/>
    <w:uiPriority w:val="64"/>
    <w:rsid w:val="00E3647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rsid w:val="00E3647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E364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mwikis/eurydice/index.php/Germany:Separate_Special_Education_Needs_Provision_in_Early_Childhood_and_School_Education#Separate_special_education_needs_provision_in_early_childhood_education_and_care" TargetMode="External"/><Relationship Id="rId13" Type="http://schemas.openxmlformats.org/officeDocument/2006/relationships/hyperlink" Target="https://www.kmk.org/fileadmin/veroeffentlichungen_beschluesse/2004/2004_06_03-Fruehe-Bildung-Kindertageseinrichtung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fpfis/mwikis/eurydice/index.php/Germany:Organisation_of_Programmes_for_Children_over_2-3_years" TargetMode="External"/><Relationship Id="rId12" Type="http://schemas.openxmlformats.org/officeDocument/2006/relationships/hyperlink" Target="https://bildung.bmbwf.gv.at/ministerium/vp/2009/bildungsrahmenplan_18698.pdf?6ar4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.eu/european-union/about-eu/countries/member-countries/austria_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ldungssystem.at/" TargetMode="External"/><Relationship Id="rId11" Type="http://schemas.openxmlformats.org/officeDocument/2006/relationships/hyperlink" Target="https://webgate.ec.europa.eu/fpfis/mwikis/eurydice/index.php/Austria:Statistics_on_Organisation_and_Governance#Early_Childhood_Education_and_Care_.28ECEC.29" TargetMode="External"/><Relationship Id="rId5" Type="http://schemas.openxmlformats.org/officeDocument/2006/relationships/hyperlink" Target="https://clanky.rvp.cz/clanek/o/z/510/STRUKTURA-VZDELAVACIHO-SYSTEMU-V-NEMECKU.html/" TargetMode="External"/><Relationship Id="rId15" Type="http://schemas.openxmlformats.org/officeDocument/2006/relationships/hyperlink" Target="https://europa.eu/european-union/about-eu/countries/member-countries/germany_sk" TargetMode="External"/><Relationship Id="rId10" Type="http://schemas.openxmlformats.org/officeDocument/2006/relationships/hyperlink" Target="http://www.oecd.org/education/education-at-a-glance-1999148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europa.eu/en/publication-detail/-/publication/4bda53c1-7352-11e5-86db-01aa75ed71a1/language-sk" TargetMode="External"/><Relationship Id="rId14" Type="http://schemas.openxmlformats.org/officeDocument/2006/relationships/hyperlink" Target="https://www.bildungsserver.de/Bildungsplaene-der-Bundeslaender-fuer-die-fruehe-Bildung-in-Kindertageseinrichtungen-2027-de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cp:lastPrinted>2018-03-11T12:38:00Z</cp:lastPrinted>
  <dcterms:created xsi:type="dcterms:W3CDTF">2018-03-11T09:02:00Z</dcterms:created>
  <dcterms:modified xsi:type="dcterms:W3CDTF">2018-03-11T12:40:00Z</dcterms:modified>
</cp:coreProperties>
</file>